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BE21" w14:textId="54B543CD" w:rsidR="00695DF5" w:rsidRDefault="00B95ED2" w:rsidP="003C0AE6">
      <w:pPr>
        <w:pStyle w:val="Title"/>
        <w:jc w:val="center"/>
      </w:pPr>
      <w:r>
        <w:rPr>
          <w:b/>
          <w:bCs/>
        </w:rPr>
        <w:t xml:space="preserve">COVID-19: </w:t>
      </w:r>
      <w:r>
        <w:t>BEST PRACTICES FOR FUNERAL HOMES, CEMETERIES &amp; CREMATORIES</w:t>
      </w:r>
    </w:p>
    <w:p w14:paraId="125593B5" w14:textId="5578A336" w:rsidR="00B95ED2" w:rsidRDefault="00B95ED2" w:rsidP="000F3336">
      <w:pPr>
        <w:jc w:val="both"/>
        <w:rPr>
          <w:sz w:val="24"/>
          <w:szCs w:val="24"/>
        </w:rPr>
      </w:pPr>
      <w:r w:rsidRPr="00B95ED2">
        <w:rPr>
          <w:sz w:val="24"/>
          <w:szCs w:val="24"/>
        </w:rPr>
        <w:t>As of March 19, 2020, the recommendation of the Center for Disease Control (CDC) and the Trump Administration is to keep gatherings to less than 10 persons. </w:t>
      </w:r>
      <w:r>
        <w:rPr>
          <w:sz w:val="24"/>
          <w:szCs w:val="24"/>
        </w:rPr>
        <w:t xml:space="preserve">Many of the state of Arizona guidelines are written to follow the CDC guidelines. While Funeral Services are not specifically being called out in these guidelines, your AFCCA highly recommends taking these guidelines into consideration when making arrangements for your families. </w:t>
      </w:r>
    </w:p>
    <w:p w14:paraId="101A4216" w14:textId="1B48E8CA" w:rsidR="00B95ED2" w:rsidRDefault="00B95ED2" w:rsidP="000F3336">
      <w:pPr>
        <w:jc w:val="both"/>
        <w:rPr>
          <w:sz w:val="24"/>
          <w:szCs w:val="24"/>
        </w:rPr>
      </w:pPr>
      <w:r>
        <w:rPr>
          <w:sz w:val="24"/>
          <w:szCs w:val="24"/>
        </w:rPr>
        <w:t xml:space="preserve">At this time, it is up to each establishment to create their own protocol for meeting with families and holding services, however, AFCCA would like to offer these best practices for you to use </w:t>
      </w:r>
      <w:r w:rsidR="000F3336">
        <w:rPr>
          <w:sz w:val="24"/>
          <w:szCs w:val="24"/>
        </w:rPr>
        <w:t>in your business practices</w:t>
      </w:r>
      <w:r>
        <w:rPr>
          <w:sz w:val="24"/>
          <w:szCs w:val="24"/>
        </w:rPr>
        <w:t>.</w:t>
      </w:r>
    </w:p>
    <w:p w14:paraId="040E833B"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When possible, at-need and preneed arrangement conferences should be made via telephone calls, FaceTime, video conference and/or other electronic means including emailed documents</w:t>
      </w:r>
    </w:p>
    <w:p w14:paraId="42A1609A"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Funeral homes should continue to meet in person with families that do not have means of telecommunications or electronic communications, limiting the conference to two people</w:t>
      </w:r>
    </w:p>
    <w:p w14:paraId="4403D102"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Social distancing of six-feet separation from funeral home staff and family should be observed</w:t>
      </w:r>
    </w:p>
    <w:p w14:paraId="61760421" w14:textId="4141E116" w:rsidR="00B95ED2" w:rsidRDefault="00B95ED2" w:rsidP="003C0AE6">
      <w:pPr>
        <w:pStyle w:val="ListParagraph"/>
        <w:numPr>
          <w:ilvl w:val="0"/>
          <w:numId w:val="21"/>
        </w:numPr>
        <w:spacing w:line="276" w:lineRule="auto"/>
        <w:rPr>
          <w:sz w:val="24"/>
          <w:szCs w:val="24"/>
        </w:rPr>
      </w:pPr>
      <w:r w:rsidRPr="00B95ED2">
        <w:rPr>
          <w:sz w:val="24"/>
          <w:szCs w:val="24"/>
        </w:rPr>
        <w:t xml:space="preserve">Conduct private funeral services with </w:t>
      </w:r>
      <w:r w:rsidR="000F3336">
        <w:rPr>
          <w:sz w:val="24"/>
          <w:szCs w:val="24"/>
        </w:rPr>
        <w:t>1</w:t>
      </w:r>
      <w:r w:rsidRPr="00B95ED2">
        <w:rPr>
          <w:sz w:val="24"/>
          <w:szCs w:val="24"/>
        </w:rPr>
        <w:t>0 or less persons</w:t>
      </w:r>
      <w:r w:rsidR="003C0AE6">
        <w:rPr>
          <w:sz w:val="24"/>
          <w:szCs w:val="24"/>
        </w:rPr>
        <w:t>, including chaplain</w:t>
      </w:r>
    </w:p>
    <w:p w14:paraId="1764D858" w14:textId="446C59E3" w:rsidR="003C0AE6" w:rsidRPr="003C0AE6" w:rsidRDefault="003C0AE6" w:rsidP="003C0AE6">
      <w:pPr>
        <w:pStyle w:val="ListParagraph"/>
        <w:numPr>
          <w:ilvl w:val="0"/>
          <w:numId w:val="21"/>
        </w:numPr>
        <w:spacing w:line="276" w:lineRule="auto"/>
        <w:rPr>
          <w:sz w:val="24"/>
          <w:szCs w:val="24"/>
        </w:rPr>
      </w:pPr>
      <w:r>
        <w:rPr>
          <w:sz w:val="24"/>
          <w:szCs w:val="24"/>
        </w:rPr>
        <w:t>S</w:t>
      </w:r>
      <w:r w:rsidRPr="003C0AE6">
        <w:rPr>
          <w:sz w:val="24"/>
          <w:szCs w:val="24"/>
        </w:rPr>
        <w:t>taff</w:t>
      </w:r>
      <w:r>
        <w:rPr>
          <w:sz w:val="24"/>
          <w:szCs w:val="24"/>
        </w:rPr>
        <w:t xml:space="preserve"> should</w:t>
      </w:r>
      <w:r w:rsidRPr="003C0AE6">
        <w:rPr>
          <w:sz w:val="24"/>
          <w:szCs w:val="24"/>
        </w:rPr>
        <w:t xml:space="preserve"> remain 30 feet back the entire time the family is present.</w:t>
      </w:r>
    </w:p>
    <w:p w14:paraId="3981C13F"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Host larger memorial gatherings at a later date</w:t>
      </w:r>
    </w:p>
    <w:p w14:paraId="41DF5BAA"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When possible, offer to record and/or live stream events (music and web casting license available to all funeral homes regardless of membership status through NFDA)</w:t>
      </w:r>
    </w:p>
    <w:p w14:paraId="30CC5111"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Post tribute videos to funeral home website to virtually share memories</w:t>
      </w:r>
    </w:p>
    <w:p w14:paraId="294EB785"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Post signs at entrances listing virus symptoms and request those feeling the effects to pay their respects in an alternate manner (i.e. email, written note, phone call to family)</w:t>
      </w:r>
    </w:p>
    <w:p w14:paraId="4BE32196" w14:textId="26897B06" w:rsidR="00B95ED2" w:rsidRDefault="00B95ED2" w:rsidP="003C0AE6">
      <w:pPr>
        <w:pStyle w:val="ListParagraph"/>
        <w:numPr>
          <w:ilvl w:val="0"/>
          <w:numId w:val="21"/>
        </w:numPr>
        <w:spacing w:line="276" w:lineRule="auto"/>
        <w:rPr>
          <w:sz w:val="24"/>
          <w:szCs w:val="24"/>
        </w:rPr>
      </w:pPr>
      <w:r w:rsidRPr="00B95ED2">
        <w:rPr>
          <w:sz w:val="24"/>
          <w:szCs w:val="24"/>
        </w:rPr>
        <w:t>Encourage online condolences via the funeral home web site</w:t>
      </w:r>
    </w:p>
    <w:p w14:paraId="0EDB9EE4" w14:textId="0A97AE4D" w:rsidR="003C0AE6" w:rsidRPr="003C0AE6" w:rsidRDefault="003C0AE6" w:rsidP="003C0AE6">
      <w:pPr>
        <w:pStyle w:val="ListParagraph"/>
        <w:numPr>
          <w:ilvl w:val="0"/>
          <w:numId w:val="21"/>
        </w:numPr>
        <w:spacing w:line="276" w:lineRule="auto"/>
        <w:rPr>
          <w:sz w:val="24"/>
          <w:szCs w:val="24"/>
        </w:rPr>
      </w:pPr>
      <w:r>
        <w:rPr>
          <w:sz w:val="24"/>
          <w:szCs w:val="24"/>
        </w:rPr>
        <w:t>P</w:t>
      </w:r>
      <w:r w:rsidRPr="003C0AE6">
        <w:rPr>
          <w:sz w:val="24"/>
          <w:szCs w:val="24"/>
        </w:rPr>
        <w:t xml:space="preserve">re-set </w:t>
      </w:r>
      <w:r>
        <w:rPr>
          <w:sz w:val="24"/>
          <w:szCs w:val="24"/>
        </w:rPr>
        <w:t xml:space="preserve">caskets </w:t>
      </w:r>
      <w:r w:rsidRPr="003C0AE6">
        <w:rPr>
          <w:sz w:val="24"/>
          <w:szCs w:val="24"/>
        </w:rPr>
        <w:t xml:space="preserve">prior to the </w:t>
      </w:r>
      <w:proofErr w:type="gramStart"/>
      <w:r w:rsidRPr="003C0AE6">
        <w:rPr>
          <w:sz w:val="24"/>
          <w:szCs w:val="24"/>
        </w:rPr>
        <w:t>families</w:t>
      </w:r>
      <w:proofErr w:type="gramEnd"/>
      <w:r w:rsidRPr="003C0AE6">
        <w:rPr>
          <w:sz w:val="24"/>
          <w:szCs w:val="24"/>
        </w:rPr>
        <w:t xml:space="preserve"> arrival in order to keep a safe distance between </w:t>
      </w:r>
      <w:r>
        <w:rPr>
          <w:sz w:val="24"/>
          <w:szCs w:val="24"/>
        </w:rPr>
        <w:t>the</w:t>
      </w:r>
      <w:r w:rsidRPr="003C0AE6">
        <w:rPr>
          <w:sz w:val="24"/>
          <w:szCs w:val="24"/>
        </w:rPr>
        <w:t xml:space="preserve"> staff </w:t>
      </w:r>
      <w:r>
        <w:rPr>
          <w:sz w:val="24"/>
          <w:szCs w:val="24"/>
        </w:rPr>
        <w:t>and families</w:t>
      </w:r>
      <w:r w:rsidRPr="003C0AE6">
        <w:rPr>
          <w:sz w:val="24"/>
          <w:szCs w:val="24"/>
        </w:rPr>
        <w:t>.</w:t>
      </w:r>
    </w:p>
    <w:p w14:paraId="03416655" w14:textId="0BC1442B" w:rsidR="003C0AE6" w:rsidRDefault="003C0AE6" w:rsidP="003C0AE6">
      <w:pPr>
        <w:pStyle w:val="ListParagraph"/>
        <w:numPr>
          <w:ilvl w:val="0"/>
          <w:numId w:val="21"/>
        </w:numPr>
        <w:spacing w:line="276" w:lineRule="auto"/>
        <w:rPr>
          <w:sz w:val="24"/>
          <w:szCs w:val="24"/>
        </w:rPr>
      </w:pPr>
      <w:r>
        <w:rPr>
          <w:sz w:val="24"/>
          <w:szCs w:val="24"/>
        </w:rPr>
        <w:t>Consider not providing</w:t>
      </w:r>
      <w:r w:rsidRPr="003C0AE6">
        <w:rPr>
          <w:sz w:val="24"/>
          <w:szCs w:val="24"/>
        </w:rPr>
        <w:t xml:space="preserve"> chairs or canop</w:t>
      </w:r>
      <w:r>
        <w:rPr>
          <w:sz w:val="24"/>
          <w:szCs w:val="24"/>
        </w:rPr>
        <w:t>ies</w:t>
      </w:r>
      <w:r w:rsidRPr="003C0AE6">
        <w:rPr>
          <w:sz w:val="24"/>
          <w:szCs w:val="24"/>
        </w:rPr>
        <w:t xml:space="preserve"> in order to limit the amount of time the family is present</w:t>
      </w:r>
      <w:r>
        <w:rPr>
          <w:sz w:val="24"/>
          <w:szCs w:val="24"/>
        </w:rPr>
        <w:t xml:space="preserve"> at graveside</w:t>
      </w:r>
      <w:r w:rsidRPr="003C0AE6">
        <w:rPr>
          <w:sz w:val="24"/>
          <w:szCs w:val="24"/>
        </w:rPr>
        <w:t>. This also prevents the need for disinfecting the chairs, covers and canopy.</w:t>
      </w:r>
    </w:p>
    <w:p w14:paraId="1060CBEA" w14:textId="17D9F606" w:rsidR="003C0AE6" w:rsidRPr="003C0AE6" w:rsidRDefault="003C0AE6" w:rsidP="003C0AE6">
      <w:pPr>
        <w:pStyle w:val="ListParagraph"/>
        <w:numPr>
          <w:ilvl w:val="0"/>
          <w:numId w:val="21"/>
        </w:numPr>
        <w:spacing w:line="276" w:lineRule="auto"/>
        <w:rPr>
          <w:sz w:val="24"/>
          <w:szCs w:val="24"/>
        </w:rPr>
      </w:pPr>
      <w:r>
        <w:rPr>
          <w:sz w:val="24"/>
          <w:szCs w:val="24"/>
        </w:rPr>
        <w:lastRenderedPageBreak/>
        <w:t xml:space="preserve">Suggest that your </w:t>
      </w:r>
      <w:r w:rsidRPr="003C0AE6">
        <w:rPr>
          <w:sz w:val="24"/>
          <w:szCs w:val="24"/>
        </w:rPr>
        <w:t xml:space="preserve"> family witness the burial </w:t>
      </w:r>
      <w:r>
        <w:rPr>
          <w:sz w:val="24"/>
          <w:szCs w:val="24"/>
        </w:rPr>
        <w:t>from</w:t>
      </w:r>
      <w:r w:rsidRPr="003C0AE6">
        <w:rPr>
          <w:sz w:val="24"/>
          <w:szCs w:val="24"/>
        </w:rPr>
        <w:t xml:space="preserve"> inside their vehicle</w:t>
      </w:r>
      <w:r>
        <w:rPr>
          <w:sz w:val="24"/>
          <w:szCs w:val="24"/>
        </w:rPr>
        <w:t>.</w:t>
      </w:r>
    </w:p>
    <w:p w14:paraId="638C6124"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Post signs near entrance encouraging social distancing and viral control etiquette (i.e. no hugging, kissing or shaking of hands; creating personal space of 6’; cough into crook of elbow)</w:t>
      </w:r>
    </w:p>
    <w:p w14:paraId="1B778044"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Separate chapel chairs for the safety of each attendee</w:t>
      </w:r>
    </w:p>
    <w:p w14:paraId="5280708B"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In lieu of a register book, provide attendees individual memorial note cards with a funeral home pen they can retain; or have funeral home staff attend the register book and sign for each guest</w:t>
      </w:r>
    </w:p>
    <w:p w14:paraId="246A550C" w14:textId="77777777" w:rsidR="00B95ED2" w:rsidRPr="00B95ED2" w:rsidRDefault="00B95ED2" w:rsidP="003C0AE6">
      <w:pPr>
        <w:pStyle w:val="ListParagraph"/>
        <w:numPr>
          <w:ilvl w:val="0"/>
          <w:numId w:val="21"/>
        </w:numPr>
        <w:spacing w:line="276" w:lineRule="auto"/>
        <w:rPr>
          <w:sz w:val="24"/>
          <w:szCs w:val="24"/>
        </w:rPr>
      </w:pPr>
      <w:r w:rsidRPr="00B95ED2">
        <w:rPr>
          <w:sz w:val="24"/>
          <w:szCs w:val="24"/>
        </w:rPr>
        <w:t>Temporarily cease catering, food, drinks and receptions. If applicable, remove candy or novelty gift to keep hands from gravitating to a central dish</w:t>
      </w:r>
    </w:p>
    <w:p w14:paraId="010C003E" w14:textId="73FCBDD8" w:rsidR="000F3336" w:rsidRDefault="000F3336" w:rsidP="003C0AE6">
      <w:pPr>
        <w:pStyle w:val="ListParagraph"/>
        <w:numPr>
          <w:ilvl w:val="0"/>
          <w:numId w:val="21"/>
        </w:numPr>
        <w:spacing w:line="276" w:lineRule="auto"/>
        <w:rPr>
          <w:sz w:val="24"/>
          <w:szCs w:val="24"/>
        </w:rPr>
      </w:pPr>
      <w:r>
        <w:rPr>
          <w:sz w:val="24"/>
          <w:szCs w:val="24"/>
        </w:rPr>
        <w:t>Keep a register of all visitors to your funeral home in case of a positive testing of Covid-19 happens in your location so that you can inform visitors.</w:t>
      </w:r>
    </w:p>
    <w:p w14:paraId="1E4D6AF4" w14:textId="1C45897B" w:rsidR="00B95ED2" w:rsidRPr="00B95ED2" w:rsidRDefault="003C0AE6" w:rsidP="003C0AE6">
      <w:pPr>
        <w:pStyle w:val="ListParagraph"/>
        <w:numPr>
          <w:ilvl w:val="0"/>
          <w:numId w:val="21"/>
        </w:numPr>
        <w:spacing w:line="276" w:lineRule="auto"/>
        <w:rPr>
          <w:sz w:val="24"/>
          <w:szCs w:val="24"/>
        </w:rPr>
      </w:pPr>
      <w:r>
        <w:rPr>
          <w:sz w:val="24"/>
          <w:szCs w:val="24"/>
        </w:rPr>
        <w:t xml:space="preserve">Create sanitizing and cleaning protocols for at the end of each day, and after each visitor. </w:t>
      </w:r>
    </w:p>
    <w:p w14:paraId="3A36DA6C" w14:textId="77777777" w:rsidR="00B95ED2" w:rsidRPr="00B95ED2" w:rsidRDefault="00B95ED2" w:rsidP="000F3336">
      <w:pPr>
        <w:pStyle w:val="ListParagraph"/>
        <w:ind w:left="720" w:firstLine="0"/>
        <w:rPr>
          <w:sz w:val="24"/>
          <w:szCs w:val="24"/>
        </w:rPr>
      </w:pPr>
    </w:p>
    <w:p w14:paraId="5D67F0C3" w14:textId="77777777" w:rsidR="00B95ED2" w:rsidRPr="00B95ED2" w:rsidRDefault="00B95ED2" w:rsidP="00B95ED2">
      <w:bookmarkStart w:id="0" w:name="_GoBack"/>
      <w:bookmarkEnd w:id="0"/>
    </w:p>
    <w:sectPr w:rsidR="00B95ED2" w:rsidRPr="00B95ED2">
      <w:headerReference w:type="default" r:id="rId15"/>
      <w:footerReference w:type="default" r:id="rId16"/>
      <w:headerReference w:type="first" r:id="rId17"/>
      <w:footerReference w:type="first" r:id="rId18"/>
      <w:pgSz w:w="12240" w:h="15840" w:code="1"/>
      <w:pgMar w:top="1080" w:right="1080" w:bottom="1080" w:left="108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8584" w14:textId="77777777" w:rsidR="001B048D" w:rsidRDefault="001B048D">
      <w:pPr>
        <w:spacing w:after="0" w:line="240" w:lineRule="auto"/>
      </w:pPr>
      <w:r>
        <w:separator/>
      </w:r>
    </w:p>
  </w:endnote>
  <w:endnote w:type="continuationSeparator" w:id="0">
    <w:p w14:paraId="64AF87EF" w14:textId="77777777" w:rsidR="001B048D" w:rsidRDefault="001B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0314" w14:textId="77777777" w:rsidR="00B95ED2" w:rsidRPr="00254FC8" w:rsidRDefault="00B95ED2" w:rsidP="00B95ED2">
    <w:pPr>
      <w:pStyle w:val="Heading2"/>
    </w:pPr>
    <w:r w:rsidRPr="00254FC8">
      <w:t>AFCCA Mission</w:t>
    </w:r>
  </w:p>
  <w:p w14:paraId="7B70A839" w14:textId="146DD377" w:rsidR="00695DF5" w:rsidRPr="00B95ED2" w:rsidRDefault="00B95ED2" w:rsidP="00B95ED2">
    <w:pPr>
      <w:pStyle w:val="Quote"/>
      <w:jc w:val="left"/>
      <w:rPr>
        <w:sz w:val="20"/>
        <w:szCs w:val="20"/>
      </w:rPr>
    </w:pPr>
    <w:r w:rsidRPr="00254FC8">
      <w:rPr>
        <w:sz w:val="20"/>
        <w:szCs w:val="20"/>
      </w:rPr>
      <w:t>Encouraging the continuance of education of our members, promoting high ethical standards in our industry, and providing advocacy for death care professionals and the families they serve.</w:t>
    </w:r>
    <w:r w:rsidR="009017A0">
      <w:rPr>
        <w:noProof/>
      </w:rPr>
      <mc:AlternateContent>
        <mc:Choice Requires="wps">
          <w:drawing>
            <wp:anchor distT="0" distB="0" distL="114300" distR="114300" simplePos="0" relativeHeight="251658752" behindDoc="1" locked="0" layoutInCell="1" allowOverlap="1" wp14:anchorId="00D140F3" wp14:editId="54562D28">
              <wp:simplePos x="0" y="0"/>
              <wp:positionH relativeFrom="margin">
                <wp:align>center</wp:align>
              </wp:positionH>
              <wp:positionV relativeFrom="margin">
                <wp:align>center</wp:align>
              </wp:positionV>
              <wp:extent cx="6675755" cy="8686800"/>
              <wp:effectExtent l="0" t="0" r="0" b="0"/>
              <wp:wrapNone/>
              <wp:docPr id="11"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1FC4B" w14:textId="77777777" w:rsidR="00695DF5" w:rsidRDefault="00695DF5">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00D140F3" id="Bkgd: 3" o:spid="_x0000_s1026" style="position:absolute;left:0;text-align:left;margin-left:0;margin-top:0;width:525.65pt;height:684pt;z-index:-251657728;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" stroked="f" strokeweight=".5pt">
              <v:stroke linestyle="thinThin"/>
              <v:textbox inset="2.53903mm,1.2695mm,2.53903mm,1.2695mm">
                <w:txbxContent>
                  <w:p w14:paraId="0BB1FC4B" w14:textId="77777777" w:rsidR="00695DF5" w:rsidRDefault="00695DF5">
                    <w:pPr>
                      <w:rPr>
                        <w:rFonts w:eastAsia="Times New Roman"/>
                      </w:rPr>
                    </w:pP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3471" w14:textId="77777777" w:rsidR="00254FC8" w:rsidRPr="00254FC8" w:rsidRDefault="00254FC8" w:rsidP="00254FC8">
    <w:pPr>
      <w:pStyle w:val="Heading2"/>
    </w:pPr>
    <w:r w:rsidRPr="00254FC8">
      <w:t>AFCCA Mission</w:t>
    </w:r>
  </w:p>
  <w:p w14:paraId="66C0AE3D" w14:textId="77777777" w:rsidR="00254FC8" w:rsidRPr="00254FC8" w:rsidRDefault="00254FC8" w:rsidP="00254FC8">
    <w:pPr>
      <w:pStyle w:val="Quote"/>
      <w:jc w:val="left"/>
      <w:rPr>
        <w:sz w:val="20"/>
        <w:szCs w:val="20"/>
      </w:rPr>
    </w:pPr>
    <w:r w:rsidRPr="00254FC8">
      <w:rPr>
        <w:sz w:val="20"/>
        <w:szCs w:val="20"/>
      </w:rPr>
      <w:t>Encouraging the continuance of education of our members, promoting high ethical standards in our industry, and providing advocacy for death care professionals and the families they 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E337" w14:textId="77777777" w:rsidR="001B048D" w:rsidRDefault="001B048D">
      <w:pPr>
        <w:spacing w:after="0" w:line="240" w:lineRule="auto"/>
      </w:pPr>
      <w:r>
        <w:separator/>
      </w:r>
    </w:p>
  </w:footnote>
  <w:footnote w:type="continuationSeparator" w:id="0">
    <w:p w14:paraId="2EE715E0" w14:textId="77777777" w:rsidR="001B048D" w:rsidRDefault="001B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gridCol w:w="1442"/>
    </w:tblGrid>
    <w:tr w:rsidR="00B95ED2" w14:paraId="3D25FADF" w14:textId="77777777" w:rsidTr="00EE0731">
      <w:trPr>
        <w:trHeight w:val="710"/>
        <w:jc w:val="center"/>
      </w:trPr>
      <w:tc>
        <w:tcPr>
          <w:tcW w:w="4512" w:type="pct"/>
          <w:tcBorders>
            <w:top w:val="single" w:sz="4" w:space="0" w:color="24296C" w:themeColor="accent1" w:themeShade="BF"/>
            <w:left w:val="single" w:sz="4" w:space="0" w:color="24296C" w:themeColor="accent1" w:themeShade="BF"/>
            <w:bottom w:val="nil"/>
            <w:right w:val="single" w:sz="4" w:space="0" w:color="24296C" w:themeColor="accent1" w:themeShade="BF"/>
          </w:tcBorders>
          <w:vAlign w:val="center"/>
        </w:tcPr>
        <w:p w14:paraId="00A028C2" w14:textId="77777777" w:rsidR="00B95ED2" w:rsidRDefault="001B048D" w:rsidP="00B95ED2">
          <w:pPr>
            <w:pStyle w:val="PersonalName"/>
            <w:jc w:val="center"/>
          </w:pPr>
          <w:sdt>
            <w:sdtPr>
              <w:id w:val="303977682"/>
              <w:placeholder>
                <w:docPart w:val="7C6720DC93FB6F498755F1B4276EF5D6"/>
              </w:placeholder>
              <w:dataBinding w:prefixMappings="xmlns:ns0='http://schemas.openxmlformats.org/officeDocument/2006/extended-properties' " w:xpath="/ns0:Properties[1]/ns0:Company[1]" w:storeItemID="{6668398D-A668-4E3E-A5EB-62B293D839F1}"/>
              <w:text/>
            </w:sdtPr>
            <w:sdtEndPr/>
            <w:sdtContent>
              <w:r w:rsidR="00B95ED2">
                <w:t>Arizona funeral cemetery &amp; cremation association</w:t>
              </w:r>
            </w:sdtContent>
          </w:sdt>
        </w:p>
      </w:tc>
      <w:tc>
        <w:tcPr>
          <w:tcW w:w="488" w:type="pct"/>
          <w:vMerge w:val="restart"/>
          <w:tcBorders>
            <w:top w:val="nil"/>
            <w:left w:val="single" w:sz="4" w:space="0" w:color="24296C" w:themeColor="accent1" w:themeShade="BF"/>
            <w:bottom w:val="nil"/>
            <w:right w:val="single" w:sz="4" w:space="0" w:color="24296C" w:themeColor="accent1" w:themeShade="BF"/>
          </w:tcBorders>
          <w:shd w:val="clear" w:color="auto" w:fill="auto"/>
          <w:tcMar>
            <w:left w:w="158" w:type="dxa"/>
            <w:right w:w="0" w:type="dxa"/>
          </w:tcMar>
          <w:vAlign w:val="center"/>
        </w:tcPr>
        <w:p w14:paraId="1B483BAC" w14:textId="77777777" w:rsidR="00B95ED2" w:rsidRDefault="00B95ED2" w:rsidP="00B95ED2">
          <w:pPr>
            <w:spacing w:after="0" w:line="240" w:lineRule="auto"/>
            <w:ind w:left="71" w:hanging="71"/>
            <w:jc w:val="right"/>
          </w:pPr>
          <w:r>
            <w:rPr>
              <w:noProof/>
            </w:rPr>
            <w:drawing>
              <wp:inline distT="0" distB="0" distL="0" distR="0" wp14:anchorId="1850D6CC" wp14:editId="704D0AA0">
                <wp:extent cx="815340" cy="81534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CA_Avatar.png"/>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tc>
    </w:tr>
    <w:tr w:rsidR="00B95ED2" w14:paraId="6425C704" w14:textId="77777777" w:rsidTr="00EE0731">
      <w:trPr>
        <w:trHeight w:val="20"/>
        <w:jc w:val="center"/>
      </w:trPr>
      <w:tc>
        <w:tcPr>
          <w:tcW w:w="4512" w:type="pct"/>
          <w:tcBorders>
            <w:top w:val="nil"/>
            <w:left w:val="single" w:sz="4" w:space="0" w:color="24296C" w:themeColor="accent1" w:themeShade="BF"/>
            <w:bottom w:val="single" w:sz="4" w:space="0" w:color="24296C" w:themeColor="accent1" w:themeShade="BF"/>
            <w:right w:val="single" w:sz="4" w:space="0" w:color="24296C" w:themeColor="accent1" w:themeShade="BF"/>
          </w:tcBorders>
          <w:shd w:val="clear" w:color="auto" w:fill="303791" w:themeFill="accent1"/>
          <w:vAlign w:val="center"/>
        </w:tcPr>
        <w:p w14:paraId="751603A1" w14:textId="77777777" w:rsidR="00B95ED2" w:rsidRDefault="001B048D" w:rsidP="00B95ED2">
          <w:pPr>
            <w:spacing w:after="0" w:line="240" w:lineRule="auto"/>
            <w:jc w:val="center"/>
            <w:rPr>
              <w:caps/>
              <w:color w:val="FFFFFF" w:themeColor="background1"/>
            </w:rPr>
          </w:pPr>
          <w:sdt>
            <w:sdtPr>
              <w:rPr>
                <w:caps/>
                <w:color w:val="FFFFFF" w:themeColor="background1"/>
                <w:sz w:val="18"/>
                <w:szCs w:val="18"/>
              </w:rPr>
              <w:alias w:val="Address"/>
              <w:tag w:val="Address"/>
              <w:id w:val="1583030092"/>
              <w:placeholder>
                <w:docPart w:val="1095A224FE5C5F48B9C6BCAF6DEB5F06"/>
              </w:placeholder>
              <w:dataBinding w:prefixMappings="xmlns:ns0='http://schemas.microsoft.com/office/2006/coverPageProps' " w:xpath="/ns0:CoverPageProperties[1]/ns0:CompanyAddress[1]" w:storeItemID="{55AF091B-3C7A-41E3-B477-F2FDAA23CFDA}"/>
              <w:text/>
            </w:sdtPr>
            <w:sdtEndPr/>
            <w:sdtContent>
              <w:r w:rsidR="00B95ED2">
                <w:rPr>
                  <w:caps/>
                  <w:color w:val="FFFFFF" w:themeColor="background1"/>
                  <w:sz w:val="18"/>
                  <w:szCs w:val="18"/>
                </w:rPr>
                <w:t>2473 S. higley road pmb 309, suite 104 • gilbert, arizona 85295 • 602.909.6135 • 480-535-5825 (fax) www.azfcca.org</w:t>
              </w:r>
            </w:sdtContent>
          </w:sdt>
        </w:p>
      </w:tc>
      <w:tc>
        <w:tcPr>
          <w:tcW w:w="488" w:type="pct"/>
          <w:vMerge/>
          <w:tcBorders>
            <w:top w:val="nil"/>
            <w:left w:val="single" w:sz="4" w:space="0" w:color="24296C" w:themeColor="accent1" w:themeShade="BF"/>
            <w:bottom w:val="nil"/>
            <w:right w:val="single" w:sz="4" w:space="0" w:color="24296C" w:themeColor="accent1" w:themeShade="BF"/>
          </w:tcBorders>
          <w:shd w:val="clear" w:color="auto" w:fill="auto"/>
        </w:tcPr>
        <w:p w14:paraId="68962C13" w14:textId="77777777" w:rsidR="00B95ED2" w:rsidRDefault="00B95ED2" w:rsidP="00B95ED2">
          <w:pPr>
            <w:spacing w:after="0" w:line="240" w:lineRule="auto"/>
          </w:pPr>
        </w:p>
      </w:tc>
    </w:tr>
  </w:tbl>
  <w:p w14:paraId="0D43A791" w14:textId="77777777" w:rsidR="00B95ED2" w:rsidRDefault="00B95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gridCol w:w="1442"/>
    </w:tblGrid>
    <w:tr w:rsidR="00254FC8" w14:paraId="3F5FA2F2" w14:textId="77777777" w:rsidTr="003A1089">
      <w:trPr>
        <w:trHeight w:val="710"/>
        <w:jc w:val="center"/>
      </w:trPr>
      <w:tc>
        <w:tcPr>
          <w:tcW w:w="4512" w:type="pct"/>
          <w:tcBorders>
            <w:top w:val="single" w:sz="4" w:space="0" w:color="24296C" w:themeColor="accent1" w:themeShade="BF"/>
            <w:left w:val="single" w:sz="4" w:space="0" w:color="24296C" w:themeColor="accent1" w:themeShade="BF"/>
            <w:bottom w:val="nil"/>
            <w:right w:val="single" w:sz="4" w:space="0" w:color="24296C" w:themeColor="accent1" w:themeShade="BF"/>
          </w:tcBorders>
          <w:vAlign w:val="center"/>
        </w:tcPr>
        <w:p w14:paraId="13233005" w14:textId="77777777" w:rsidR="00254FC8" w:rsidRDefault="001B048D" w:rsidP="00254FC8">
          <w:pPr>
            <w:pStyle w:val="PersonalName"/>
            <w:jc w:val="center"/>
          </w:pPr>
          <w:sdt>
            <w:sdtPr>
              <w:id w:val="1389845768"/>
              <w:placeholder>
                <w:docPart w:val="0EA6019B57EBA445BA3F1F5D606470EC"/>
              </w:placeholder>
              <w:dataBinding w:prefixMappings="xmlns:ns0='http://schemas.openxmlformats.org/officeDocument/2006/extended-properties' " w:xpath="/ns0:Properties[1]/ns0:Company[1]" w:storeItemID="{6668398D-A668-4E3E-A5EB-62B293D839F1}"/>
              <w:text/>
            </w:sdtPr>
            <w:sdtEndPr/>
            <w:sdtContent>
              <w:r w:rsidR="00254FC8">
                <w:t>Arizona funeral cemetery &amp; cremation association</w:t>
              </w:r>
            </w:sdtContent>
          </w:sdt>
        </w:p>
      </w:tc>
      <w:tc>
        <w:tcPr>
          <w:tcW w:w="488" w:type="pct"/>
          <w:vMerge w:val="restart"/>
          <w:tcBorders>
            <w:top w:val="nil"/>
            <w:left w:val="single" w:sz="4" w:space="0" w:color="24296C" w:themeColor="accent1" w:themeShade="BF"/>
            <w:bottom w:val="nil"/>
            <w:right w:val="single" w:sz="4" w:space="0" w:color="24296C" w:themeColor="accent1" w:themeShade="BF"/>
          </w:tcBorders>
          <w:shd w:val="clear" w:color="auto" w:fill="auto"/>
          <w:tcMar>
            <w:left w:w="158" w:type="dxa"/>
            <w:right w:w="0" w:type="dxa"/>
          </w:tcMar>
          <w:vAlign w:val="center"/>
        </w:tcPr>
        <w:p w14:paraId="47F5E504" w14:textId="77777777" w:rsidR="00254FC8" w:rsidRDefault="00254FC8" w:rsidP="003A1089">
          <w:pPr>
            <w:spacing w:after="0" w:line="240" w:lineRule="auto"/>
            <w:ind w:left="71" w:hanging="71"/>
            <w:jc w:val="right"/>
          </w:pPr>
          <w:r>
            <w:rPr>
              <w:noProof/>
            </w:rPr>
            <w:drawing>
              <wp:inline distT="0" distB="0" distL="0" distR="0" wp14:anchorId="60C0F6FF" wp14:editId="65D0796A">
                <wp:extent cx="815340" cy="81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CA_Avatar.png"/>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tc>
    </w:tr>
    <w:tr w:rsidR="00254FC8" w14:paraId="7DD96569" w14:textId="77777777" w:rsidTr="003A1089">
      <w:trPr>
        <w:trHeight w:val="20"/>
        <w:jc w:val="center"/>
      </w:trPr>
      <w:tc>
        <w:tcPr>
          <w:tcW w:w="4512" w:type="pct"/>
          <w:tcBorders>
            <w:top w:val="nil"/>
            <w:left w:val="single" w:sz="4" w:space="0" w:color="24296C" w:themeColor="accent1" w:themeShade="BF"/>
            <w:bottom w:val="single" w:sz="4" w:space="0" w:color="24296C" w:themeColor="accent1" w:themeShade="BF"/>
            <w:right w:val="single" w:sz="4" w:space="0" w:color="24296C" w:themeColor="accent1" w:themeShade="BF"/>
          </w:tcBorders>
          <w:shd w:val="clear" w:color="auto" w:fill="303791" w:themeFill="accent1"/>
          <w:vAlign w:val="center"/>
        </w:tcPr>
        <w:p w14:paraId="52FAE53F" w14:textId="77777777" w:rsidR="00254FC8" w:rsidRDefault="001B048D" w:rsidP="00254FC8">
          <w:pPr>
            <w:spacing w:after="0" w:line="240" w:lineRule="auto"/>
            <w:jc w:val="center"/>
            <w:rPr>
              <w:caps/>
              <w:color w:val="FFFFFF" w:themeColor="background1"/>
            </w:rPr>
          </w:pPr>
          <w:sdt>
            <w:sdtPr>
              <w:rPr>
                <w:caps/>
                <w:color w:val="FFFFFF" w:themeColor="background1"/>
                <w:sz w:val="18"/>
                <w:szCs w:val="18"/>
              </w:rPr>
              <w:alias w:val="Address"/>
              <w:tag w:val="Address"/>
              <w:id w:val="-203863747"/>
              <w:placeholder>
                <w:docPart w:val="C2AA139BE36112479E81920DC90852D6"/>
              </w:placeholder>
              <w:dataBinding w:prefixMappings="xmlns:ns0='http://schemas.microsoft.com/office/2006/coverPageProps' " w:xpath="/ns0:CoverPageProperties[1]/ns0:CompanyAddress[1]" w:storeItemID="{55AF091B-3C7A-41E3-B477-F2FDAA23CFDA}"/>
              <w:text/>
            </w:sdtPr>
            <w:sdtEndPr/>
            <w:sdtContent>
              <w:r w:rsidR="00254FC8">
                <w:rPr>
                  <w:caps/>
                  <w:color w:val="FFFFFF" w:themeColor="background1"/>
                  <w:sz w:val="18"/>
                  <w:szCs w:val="18"/>
                </w:rPr>
                <w:t>2473 S. higley road pmb 309, suite 104 • gilbert, arizona 85295 • 602.909.6135 • 480-535-5825 (fax) www.azfcca.org</w:t>
              </w:r>
            </w:sdtContent>
          </w:sdt>
        </w:p>
      </w:tc>
      <w:tc>
        <w:tcPr>
          <w:tcW w:w="488" w:type="pct"/>
          <w:vMerge/>
          <w:tcBorders>
            <w:top w:val="nil"/>
            <w:left w:val="single" w:sz="4" w:space="0" w:color="24296C" w:themeColor="accent1" w:themeShade="BF"/>
            <w:bottom w:val="nil"/>
            <w:right w:val="single" w:sz="4" w:space="0" w:color="24296C" w:themeColor="accent1" w:themeShade="BF"/>
          </w:tcBorders>
          <w:shd w:val="clear" w:color="auto" w:fill="auto"/>
        </w:tcPr>
        <w:p w14:paraId="7E3978BA" w14:textId="77777777" w:rsidR="00254FC8" w:rsidRDefault="00254FC8" w:rsidP="003A1089">
          <w:pPr>
            <w:spacing w:after="0" w:line="240" w:lineRule="auto"/>
          </w:pPr>
        </w:p>
      </w:tc>
    </w:tr>
  </w:tbl>
  <w:p w14:paraId="18147870" w14:textId="77777777" w:rsidR="00695DF5" w:rsidRDefault="0069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F29B26"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F29B26"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303791"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303791"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303791" w:themeColor="accent1"/>
      </w:rPr>
    </w:lvl>
  </w:abstractNum>
  <w:abstractNum w:abstractNumId="10" w15:restartNumberingAfterBreak="0">
    <w:nsid w:val="1C1D389E"/>
    <w:multiLevelType w:val="multilevel"/>
    <w:tmpl w:val="883A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51C1D"/>
    <w:multiLevelType w:val="hybridMultilevel"/>
    <w:tmpl w:val="738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C8"/>
    <w:rsid w:val="000F3336"/>
    <w:rsid w:val="001B048D"/>
    <w:rsid w:val="001B48F6"/>
    <w:rsid w:val="00254FC8"/>
    <w:rsid w:val="0034550B"/>
    <w:rsid w:val="003C0AE6"/>
    <w:rsid w:val="00695DF5"/>
    <w:rsid w:val="009017A0"/>
    <w:rsid w:val="00B95ED2"/>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719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03791"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9"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445469"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445469"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303791"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445469"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445469"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F29B26"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445469"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03791"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03791" w:themeColor="accent1"/>
        <w:left w:val="single" w:sz="36" w:space="8" w:color="303791" w:themeColor="accent1"/>
        <w:bottom w:val="single" w:sz="36" w:space="8" w:color="303791" w:themeColor="accent1"/>
        <w:right w:val="single" w:sz="36" w:space="8" w:color="303791" w:themeColor="accent1"/>
      </w:pBdr>
      <w:shd w:val="clear" w:color="auto" w:fill="303791"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445469" w:themeColor="text1"/>
        <w:left w:val="single" w:sz="4" w:space="0" w:color="445469" w:themeColor="text1"/>
        <w:bottom w:val="single" w:sz="4" w:space="0" w:color="445469" w:themeColor="text1"/>
        <w:right w:val="single" w:sz="4" w:space="0" w:color="445469" w:themeColor="text1"/>
        <w:insideH w:val="single" w:sz="4" w:space="0" w:color="445469" w:themeColor="text1"/>
        <w:insideV w:val="single" w:sz="4" w:space="0" w:color="445469"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445469"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7076CF" w:themeColor="accent1" w:themeTint="99"/>
        <w:bottom w:val="single" w:sz="24" w:space="10" w:color="7076CF"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CFDEF8"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303791"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445469" w:themeColor="text1"/>
    </w:rPr>
    <w:tblPr>
      <w:tblBorders>
        <w:top w:val="single" w:sz="4" w:space="0" w:color="303791" w:themeColor="accent1"/>
        <w:left w:val="single" w:sz="4" w:space="0" w:color="303791" w:themeColor="accent1"/>
        <w:bottom w:val="single" w:sz="4" w:space="0" w:color="303791" w:themeColor="accent1"/>
        <w:right w:val="single" w:sz="4" w:space="0" w:color="303791" w:themeColor="accent1"/>
        <w:insideH w:val="single" w:sz="4" w:space="0" w:color="FFFFFF" w:themeColor="background1"/>
        <w:insideV w:val="single" w:sz="4" w:space="0" w:color="FFFFFF" w:themeColor="background1"/>
      </w:tblBorders>
    </w:tblPr>
    <w:tcPr>
      <w:shd w:val="clear" w:color="auto" w:fill="CFD1EF" w:themeFill="accent1" w:themeFillTint="33"/>
    </w:tcPr>
    <w:tblStylePr w:type="firstRow">
      <w:rPr>
        <w:b/>
        <w:bCs/>
        <w:color w:val="445469" w:themeColor="text2"/>
      </w:rPr>
      <w:tblPr/>
      <w:tcPr>
        <w:shd w:val="clear" w:color="auto" w:fill="E7E8F7" w:themeFill="accent1" w:themeFillTint="19"/>
      </w:tcPr>
    </w:tblStylePr>
    <w:tblStylePr w:type="lastRow">
      <w:rPr>
        <w:b/>
        <w:bCs/>
        <w:color w:val="FFFFFF" w:themeColor="background1"/>
      </w:rPr>
      <w:tblPr/>
      <w:tcPr>
        <w:shd w:val="clear" w:color="auto" w:fill="303791" w:themeFill="accent1"/>
      </w:tcPr>
    </w:tblStylePr>
    <w:tblStylePr w:type="firstCol">
      <w:rPr>
        <w:b/>
        <w:bCs/>
        <w:color w:val="445469" w:themeColor="text2"/>
      </w:rPr>
    </w:tblStylePr>
    <w:tblStylePr w:type="lastCol">
      <w:rPr>
        <w:color w:val="445469"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303791"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445469" w:themeColor="text1"/>
      <w:sz w:val="24"/>
      <w:szCs w:val="24"/>
    </w:rPr>
  </w:style>
  <w:style w:type="paragraph" w:customStyle="1" w:styleId="PersonalName">
    <w:name w:val="Personal Name"/>
    <w:basedOn w:val="Title"/>
    <w:next w:val="Normal"/>
    <w:qFormat/>
    <w:pPr>
      <w:spacing w:after="0"/>
    </w:pPr>
    <w:rPr>
      <w:b/>
      <w:bCs/>
      <w:caps/>
      <w:color w:val="445469" w:themeColor="text2"/>
      <w:sz w:val="28"/>
      <w:szCs w:val="28"/>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2646">
      <w:bodyDiv w:val="1"/>
      <w:marLeft w:val="0"/>
      <w:marRight w:val="0"/>
      <w:marTop w:val="0"/>
      <w:marBottom w:val="0"/>
      <w:divBdr>
        <w:top w:val="none" w:sz="0" w:space="0" w:color="auto"/>
        <w:left w:val="none" w:sz="0" w:space="0" w:color="auto"/>
        <w:bottom w:val="none" w:sz="0" w:space="0" w:color="auto"/>
        <w:right w:val="none" w:sz="0" w:space="0" w:color="auto"/>
      </w:divBdr>
    </w:div>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684748749">
      <w:bodyDiv w:val="1"/>
      <w:marLeft w:val="0"/>
      <w:marRight w:val="0"/>
      <w:marTop w:val="0"/>
      <w:marBottom w:val="0"/>
      <w:divBdr>
        <w:top w:val="none" w:sz="0" w:space="0" w:color="auto"/>
        <w:left w:val="none" w:sz="0" w:space="0" w:color="auto"/>
        <w:bottom w:val="none" w:sz="0" w:space="0" w:color="auto"/>
        <w:right w:val="none" w:sz="0" w:space="0" w:color="auto"/>
      </w:divBdr>
    </w:div>
    <w:div w:id="768549509">
      <w:bodyDiv w:val="1"/>
      <w:marLeft w:val="0"/>
      <w:marRight w:val="0"/>
      <w:marTop w:val="0"/>
      <w:marBottom w:val="0"/>
      <w:divBdr>
        <w:top w:val="none" w:sz="0" w:space="0" w:color="auto"/>
        <w:left w:val="none" w:sz="0" w:space="0" w:color="auto"/>
        <w:bottom w:val="none" w:sz="0" w:space="0" w:color="auto"/>
        <w:right w:val="none" w:sz="0" w:space="0" w:color="auto"/>
      </w:divBdr>
    </w:div>
    <w:div w:id="1076784671">
      <w:bodyDiv w:val="1"/>
      <w:marLeft w:val="0"/>
      <w:marRight w:val="0"/>
      <w:marTop w:val="0"/>
      <w:marBottom w:val="0"/>
      <w:divBdr>
        <w:top w:val="none" w:sz="0" w:space="0" w:color="auto"/>
        <w:left w:val="none" w:sz="0" w:space="0" w:color="auto"/>
        <w:bottom w:val="none" w:sz="0" w:space="0" w:color="auto"/>
        <w:right w:val="none" w:sz="0" w:space="0" w:color="auto"/>
      </w:divBdr>
    </w:div>
    <w:div w:id="1108426119">
      <w:bodyDiv w:val="1"/>
      <w:marLeft w:val="0"/>
      <w:marRight w:val="0"/>
      <w:marTop w:val="0"/>
      <w:marBottom w:val="0"/>
      <w:divBdr>
        <w:top w:val="none" w:sz="0" w:space="0" w:color="auto"/>
        <w:left w:val="none" w:sz="0" w:space="0" w:color="auto"/>
        <w:bottom w:val="none" w:sz="0" w:space="0" w:color="auto"/>
        <w:right w:val="none" w:sz="0" w:space="0" w:color="auto"/>
      </w:divBdr>
    </w:div>
    <w:div w:id="1136294427">
      <w:bodyDiv w:val="1"/>
      <w:marLeft w:val="0"/>
      <w:marRight w:val="0"/>
      <w:marTop w:val="0"/>
      <w:marBottom w:val="0"/>
      <w:divBdr>
        <w:top w:val="none" w:sz="0" w:space="0" w:color="auto"/>
        <w:left w:val="none" w:sz="0" w:space="0" w:color="auto"/>
        <w:bottom w:val="none" w:sz="0" w:space="0" w:color="auto"/>
        <w:right w:val="none" w:sz="0" w:space="0" w:color="auto"/>
      </w:divBdr>
    </w:div>
    <w:div w:id="17558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long/Library/Containers/com.microsoft.Word/Data/Library/Caches/1033/TM01840848/Mail%20merge%20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A6019B57EBA445BA3F1F5D606470EC"/>
        <w:category>
          <w:name w:val="General"/>
          <w:gallery w:val="placeholder"/>
        </w:category>
        <w:types>
          <w:type w:val="bbPlcHdr"/>
        </w:types>
        <w:behaviors>
          <w:behavior w:val="content"/>
        </w:behaviors>
        <w:guid w:val="{11E7A5EF-33B6-8949-9F1F-18F923CE80F4}"/>
      </w:docPartPr>
      <w:docPartBody>
        <w:p w:rsidR="00A83436" w:rsidRDefault="00C8340B" w:rsidP="00C8340B">
          <w:pPr>
            <w:pStyle w:val="0EA6019B57EBA445BA3F1F5D606470EC"/>
          </w:pPr>
          <w:r>
            <w:t>[Type the sender company name]</w:t>
          </w:r>
        </w:p>
      </w:docPartBody>
    </w:docPart>
    <w:docPart>
      <w:docPartPr>
        <w:name w:val="C2AA139BE36112479E81920DC90852D6"/>
        <w:category>
          <w:name w:val="General"/>
          <w:gallery w:val="placeholder"/>
        </w:category>
        <w:types>
          <w:type w:val="bbPlcHdr"/>
        </w:types>
        <w:behaviors>
          <w:behavior w:val="content"/>
        </w:behaviors>
        <w:guid w:val="{365BBE88-3BA0-0C4A-B195-39875559D849}"/>
      </w:docPartPr>
      <w:docPartBody>
        <w:p w:rsidR="00A83436" w:rsidRDefault="00C8340B" w:rsidP="00C8340B">
          <w:pPr>
            <w:pStyle w:val="C2AA139BE36112479E81920DC90852D6"/>
          </w:pPr>
          <w:r>
            <w:rPr>
              <w:caps/>
              <w:color w:val="FFFFFF" w:themeColor="background1"/>
              <w:sz w:val="18"/>
              <w:szCs w:val="18"/>
            </w:rPr>
            <w:t>[TYPE THE SENDER COMPANY ADDRESS]</w:t>
          </w:r>
        </w:p>
      </w:docPartBody>
    </w:docPart>
    <w:docPart>
      <w:docPartPr>
        <w:name w:val="7C6720DC93FB6F498755F1B4276EF5D6"/>
        <w:category>
          <w:name w:val="General"/>
          <w:gallery w:val="placeholder"/>
        </w:category>
        <w:types>
          <w:type w:val="bbPlcHdr"/>
        </w:types>
        <w:behaviors>
          <w:behavior w:val="content"/>
        </w:behaviors>
        <w:guid w:val="{BC519E21-F521-B244-A1FC-340DA4ED282C}"/>
      </w:docPartPr>
      <w:docPartBody>
        <w:p w:rsidR="00C640C3" w:rsidRDefault="00A83436" w:rsidP="00A83436">
          <w:pPr>
            <w:pStyle w:val="7C6720DC93FB6F498755F1B4276EF5D6"/>
          </w:pPr>
          <w:r>
            <w:t>[Type the sender company name]</w:t>
          </w:r>
        </w:p>
      </w:docPartBody>
    </w:docPart>
    <w:docPart>
      <w:docPartPr>
        <w:name w:val="1095A224FE5C5F48B9C6BCAF6DEB5F06"/>
        <w:category>
          <w:name w:val="General"/>
          <w:gallery w:val="placeholder"/>
        </w:category>
        <w:types>
          <w:type w:val="bbPlcHdr"/>
        </w:types>
        <w:behaviors>
          <w:behavior w:val="content"/>
        </w:behaviors>
        <w:guid w:val="{9936D72C-9839-8748-AC22-1453B8411912}"/>
      </w:docPartPr>
      <w:docPartBody>
        <w:p w:rsidR="00C640C3" w:rsidRDefault="00A83436" w:rsidP="00A83436">
          <w:pPr>
            <w:pStyle w:val="1095A224FE5C5F48B9C6BCAF6DEB5F06"/>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0B"/>
    <w:rsid w:val="000F22D2"/>
    <w:rsid w:val="00A83436"/>
    <w:rsid w:val="00C640C3"/>
    <w:rsid w:val="00C8340B"/>
    <w:rsid w:val="00EC5999"/>
    <w:rsid w:val="00F2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C6A96F668F643B3D33F0AF86E0B36">
    <w:name w:val="E85C6A96F668F643B3D33F0AF86E0B36"/>
  </w:style>
  <w:style w:type="paragraph" w:customStyle="1" w:styleId="2C3B07F95DA575468358CD6F8A9F8021">
    <w:name w:val="2C3B07F95DA575468358CD6F8A9F8021"/>
  </w:style>
  <w:style w:type="paragraph" w:customStyle="1" w:styleId="6F832BF49D0B8B4DA85A42E5BB9D78C3">
    <w:name w:val="6F832BF49D0B8B4DA85A42E5BB9D78C3"/>
  </w:style>
  <w:style w:type="paragraph" w:customStyle="1" w:styleId="67A003AA843FD6409D5FC9064574C00B">
    <w:name w:val="67A003AA843FD6409D5FC9064574C00B"/>
  </w:style>
  <w:style w:type="paragraph" w:customStyle="1" w:styleId="BF1D461DEB7FCC4C93B53FF33334406F">
    <w:name w:val="BF1D461DEB7FCC4C93B53FF33334406F"/>
  </w:style>
  <w:style w:type="paragraph" w:customStyle="1" w:styleId="0EFE77E82CAE3947994A9EED67DD92A1">
    <w:name w:val="0EFE77E82CAE3947994A9EED67DD92A1"/>
  </w:style>
  <w:style w:type="paragraph" w:customStyle="1" w:styleId="54B3E8D48DEBC741B0A6C70B8DFA3DC3">
    <w:name w:val="54B3E8D48DEBC741B0A6C70B8DFA3DC3"/>
  </w:style>
  <w:style w:type="character" w:styleId="PlaceholderText">
    <w:name w:val="Placeholder Text"/>
    <w:basedOn w:val="DefaultParagraphFont"/>
    <w:uiPriority w:val="99"/>
    <w:rPr>
      <w:color w:val="808080"/>
    </w:rPr>
  </w:style>
  <w:style w:type="paragraph" w:customStyle="1" w:styleId="86B0711A060C2145979F0B357A4B523B">
    <w:name w:val="86B0711A060C2145979F0B357A4B523B"/>
  </w:style>
  <w:style w:type="paragraph" w:customStyle="1" w:styleId="0EA6019B57EBA445BA3F1F5D606470EC">
    <w:name w:val="0EA6019B57EBA445BA3F1F5D606470EC"/>
    <w:rsid w:val="00C8340B"/>
  </w:style>
  <w:style w:type="paragraph" w:customStyle="1" w:styleId="C2AA139BE36112479E81920DC90852D6">
    <w:name w:val="C2AA139BE36112479E81920DC90852D6"/>
    <w:rsid w:val="00C8340B"/>
  </w:style>
  <w:style w:type="paragraph" w:customStyle="1" w:styleId="7C6720DC93FB6F498755F1B4276EF5D6">
    <w:name w:val="7C6720DC93FB6F498755F1B4276EF5D6"/>
    <w:rsid w:val="00A83436"/>
  </w:style>
  <w:style w:type="paragraph" w:customStyle="1" w:styleId="1095A224FE5C5F48B9C6BCAF6DEB5F06">
    <w:name w:val="1095A224FE5C5F48B9C6BCAF6DEB5F06"/>
    <w:rsid w:val="00A83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FCCA">
      <a:dk1>
        <a:srgbClr val="445469"/>
      </a:dk1>
      <a:lt1>
        <a:srgbClr val="FFFFFF"/>
      </a:lt1>
      <a:dk2>
        <a:srgbClr val="445469"/>
      </a:dk2>
      <a:lt2>
        <a:srgbClr val="FFFFFF"/>
      </a:lt2>
      <a:accent1>
        <a:srgbClr val="303791"/>
      </a:accent1>
      <a:accent2>
        <a:srgbClr val="CFDEF8"/>
      </a:accent2>
      <a:accent3>
        <a:srgbClr val="F29B26"/>
      </a:accent3>
      <a:accent4>
        <a:srgbClr val="BD392F"/>
      </a:accent4>
      <a:accent5>
        <a:srgbClr val="445469"/>
      </a:accent5>
      <a:accent6>
        <a:srgbClr val="445469"/>
      </a:accent6>
      <a:hlink>
        <a:srgbClr val="E6666C"/>
      </a:hlink>
      <a:folHlink>
        <a:srgbClr val="FFC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2473 S. higley road pmb 309, suite 104 • gilbert, arizona 85295 • 602.909.6135 • 480-535-5825 (fax) www.azfcca.org</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2038-12-31T08:00:00+00:00</AssetExpire>
    <IntlLangReviewDate xmlns="4873beb7-5857-4685-be1f-d57550cc96cc">2010-03-08T21:43:00+00:00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Community</AcquiredFrom>
    <EditorialStatus xmlns="4873beb7-5857-4685-be1f-d57550cc96cc" xsi:nil="true"/>
    <Markets xmlns="4873beb7-5857-4685-be1f-d57550cc96cc"/>
    <OriginAsset xmlns="4873beb7-5857-4685-be1f-d57550cc96cc" xsi:nil="true"/>
    <AssetStart xmlns="4873beb7-5857-4685-be1f-d57550cc96cc">2010-03-08T21:26:39+00:00</AssetStart>
    <FriendlyTitle xmlns="4873beb7-5857-4685-be1f-d57550cc96cc" xsi:nil="true"/>
    <MarketSpecific xmlns="4873beb7-5857-4685-be1f-d57550cc96cc">false</MarketSpecific>
    <TPNamespace xmlns="4873beb7-5857-4685-be1f-d57550cc96cc" xsi:nil="true"/>
    <PublishStatusLookup xmlns="4873beb7-5857-4685-be1f-d57550cc96cc">
      <Value>754403</Value>
      <Value>1309377</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true</OutputCachingOn>
    <TemplateStatus xmlns="4873beb7-5857-4685-be1f-d57550cc96cc" xsi:nil="true"/>
    <IsSearchable xmlns="4873beb7-5857-4685-be1f-d57550cc96cc">true</IsSearchable>
    <ContentItem xmlns="4873beb7-5857-4685-be1f-d57550cc96cc" xsi:nil="true"/>
    <HandoffToMSDN xmlns="4873beb7-5857-4685-be1f-d57550cc96cc">2010-03-08T21:43:00+00:00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2010-03-08T21:43:00+00:00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2010-03-08T21:43:00+00:00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TP101840828</AssetId>
    <TPClientViewer xmlns="4873beb7-5857-4685-be1f-d57550cc96cc" xsi:nil="true"/>
    <DSATActionTaken xmlns="4873beb7-5857-4685-be1f-d57550cc96cc">Best Bets</DSATActionTaken>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21551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7.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345832BD-148B-489D-B317-243D35200FBB}">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7.xml><?xml version="1.0" encoding="utf-8"?>
<ds:datastoreItem xmlns:ds="http://schemas.openxmlformats.org/officeDocument/2006/customXml" ds:itemID="{E7E01673-6C6E-490E-9F58-F3F5F35D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403E800-1585-204A-88A8-E7E262B2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 merge letter (Apothecary design).dotx</Template>
  <TotalTime>4</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Arizona funeral cemetery &amp; cremation association</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[Type the Recipient Name]</dc:creator>
  <cp:lastModifiedBy>Heather Long</cp:lastModifiedBy>
  <cp:revision>3</cp:revision>
  <dcterms:created xsi:type="dcterms:W3CDTF">2020-03-24T20:41:00Z</dcterms:created>
  <dcterms:modified xsi:type="dcterms:W3CDTF">2020-03-26T15:53:00Z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